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приказом Минобразования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Новосибирской      области                                                                                     от ____________ № 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tabs>
          <w:tab w:val="center" w:pos="4960" w:leader="none"/>
          <w:tab w:val="right" w:pos="9921" w:leader="none"/>
        </w:tabs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ab/>
        <w:t xml:space="preserve">МЕСТА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проведения регионального этапа всероссийской олимпиады школьников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на террито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рии Новосибирской области в 2025 - 2026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 учебном году по каждому общеобразовательному предмету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ind w:left="851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1009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7"/>
        <w:gridCol w:w="3949"/>
        <w:gridCol w:w="1701"/>
        <w:gridCol w:w="3827"/>
      </w:tblGrid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Дата проведения и время выполнения задания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Предмет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12 января / 13.00 ч. - 16.00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Экономика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13 января / 13.00 ч. - 16.00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15 января / 13.00 ч. - 16.00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Биология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14 января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/ 13.00 ч. – 16.00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16 января / 13.00 ч. – 15.00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</w:t>
            </w:r>
            <w:r>
              <w:rPr>
                <w:rStyle w:val="624"/>
                <w:i/>
                <w:sz w:val="28"/>
                <w:szCs w:val="28"/>
              </w:rPr>
              <w:t xml:space="preserve">3-5 минут интерактивная беседа с каждым участником)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Испанский язык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17 января / 13.00 ч. - 18.00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19 января / 13.00 ч. - 18.00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(профиль «Программирование»)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(профиль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Искусственный интеллект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276"/>
        </w:trPr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17 января / 13.00 ч. - 18.00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19 января / 13.00 ч. - 18.00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(профиль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Информационная безопасность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»)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(профиль «Робототехника»)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 января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/ 13.00 ч. - 16.3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21 января / 13.00 ч. - 16.00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января / 13.00 ч. - 16.55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января / 13.00 ч. - 16.55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Химия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24 января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/ 13.00 ч. - 16.00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26 января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/ 13.00 ч. - 16.00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января 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13.00 ч. - 16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(4 мин на каждого участника: 1 мин/подготовка, 3 мин/устный ответ)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Итальянский язык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26 января /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13.00 ч. - 16.00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января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/ 13.00 ч. - 16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(54-60 мин на каждую группу участников: 50 мин/подготовка, 4-10 мин/презентация)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Китайский язык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28 января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/ 13.00 ч. - 16.00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29 января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/ 13.00 ч. - 15.30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Обществознание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30 января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/ 13.00 ч. - 18.00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31 января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/ 13.00 ч. - 18.0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Физика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02 февраля / 13.00 ч.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16.55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03 февраля / 13.00 ч. - 16.55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04 февраля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 13.00 ч. - 16.00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05 февраля 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13.00 ч. - 18.00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(70-72 мин на каждую группу участников: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624"/>
                <w:i/>
                <w:sz w:val="28"/>
                <w:szCs w:val="28"/>
              </w:rPr>
              <w:t xml:space="preserve">60 мин/подготовка, 10-12 мин/презентация</w:t>
            </w:r>
            <w:r>
              <w:rPr>
                <w:rStyle w:val="624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Немецкий язык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06 февраля / 13.00 ч. - 16.00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07 февраля / 10.00 ч. - 14.00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(5-7 минут представление проекта каждого участника)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09 февраля /13.00 ч. - 18.00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 февраля / 13.00 ч. - 15.00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Право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12 февраля / 09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.00 ч. - 18.00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13 февраля / 09.00 ч. - 16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14 февраля / 13.00 ч. - 16.00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География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16 февраля / 13.00 ч. - 16.50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17 февраля / 13.00 ч. - 18.00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</w:t>
            </w:r>
            <w:r>
              <w:rPr>
                <w:rStyle w:val="624"/>
                <w:i/>
                <w:sz w:val="28"/>
                <w:szCs w:val="28"/>
              </w:rPr>
              <w:t xml:space="preserve">25 минут на каждого участника: 15 мин/подготовка, 10 мин/устный ответ</w:t>
            </w:r>
            <w:r>
              <w:rPr>
                <w:rStyle w:val="624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Французский язык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18 февраля / 13.00 ч. - 16.00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19 февраля / 13.00 ч. - 18.00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(30 минут на каждую пару участников: 15 мин/подготовка, 15 мин/ устный ответ пары)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 февраля / 13.00 ч. – 13.45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21 февраля / 10.00 ч. – 15.00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24 февраля / 13.00 ч. -16.00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25 февраля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13.00 ч. -16.00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Астрономия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26 февраля / 13.00 ч. - 15.00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февраля / 10.00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ч. - 15.00 ч.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Основы безопасности и защиты Родины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28 февраля / 13.00 ч. – 16.00 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НГПУ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Искусство (мировая художественная культура)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Используемые сокращения: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НГУ – 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университет»; г. Новосибирск, ул. Пирогова, 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НГПУ – федеральное государственное бюджетное образовательное учреждение высшего образования «Новосибирский государственный педагогический университет»;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Новосибирск, ул., Вилюйская, 28.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200" w:line="276" w:lineRule="auto"/>
    </w:p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fontstyle01"/>
    <w:basedOn w:val="621"/>
    <w:rPr>
      <w:rFonts w:hint="default"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styleId="625">
    <w:name w:val="List Paragraph"/>
    <w:basedOn w:val="62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44</cp:revision>
  <dcterms:created xsi:type="dcterms:W3CDTF">2024-11-20T07:19:00Z</dcterms:created>
  <dcterms:modified xsi:type="dcterms:W3CDTF">2025-12-18T09:11:21Z</dcterms:modified>
</cp:coreProperties>
</file>